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81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Multiperspektivluftbildbefliegung im Frühjahr 2027 in fünf regionalen Teillos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